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70" w:rsidRDefault="00A72F70" w:rsidP="00A72F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2F70" w:rsidRDefault="00A72F70" w:rsidP="00A72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F70" w:rsidRDefault="00A72F70" w:rsidP="00A72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F70" w:rsidRDefault="00A72F70" w:rsidP="00A72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F70" w:rsidRDefault="00A72F70" w:rsidP="00A72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F70" w:rsidRDefault="00A72F70" w:rsidP="00A72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548C" w:rsidRPr="00A72F70" w:rsidRDefault="00027DF8" w:rsidP="00A72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F70">
        <w:rPr>
          <w:rFonts w:ascii="Times New Roman" w:hAnsi="Times New Roman" w:cs="Times New Roman"/>
          <w:sz w:val="24"/>
          <w:szCs w:val="24"/>
        </w:rPr>
        <w:t>Medicare payment grid</w:t>
      </w:r>
    </w:p>
    <w:p w:rsidR="00B3548C" w:rsidRPr="00A72F70" w:rsidRDefault="00027DF8" w:rsidP="00A72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F70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3548C" w:rsidRPr="00A72F70" w:rsidRDefault="00027DF8" w:rsidP="00A72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F70">
        <w:rPr>
          <w:rFonts w:ascii="Times New Roman" w:hAnsi="Times New Roman" w:cs="Times New Roman"/>
          <w:sz w:val="24"/>
          <w:szCs w:val="24"/>
        </w:rPr>
        <w:t>Name of lecturer</w:t>
      </w:r>
    </w:p>
    <w:p w:rsidR="00B3548C" w:rsidRPr="00A72F70" w:rsidRDefault="00027DF8" w:rsidP="00A72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F70">
        <w:rPr>
          <w:rFonts w:ascii="Times New Roman" w:hAnsi="Times New Roman" w:cs="Times New Roman"/>
          <w:sz w:val="24"/>
          <w:szCs w:val="24"/>
        </w:rPr>
        <w:t>Name of student</w:t>
      </w:r>
      <w:r w:rsidRPr="00A72F70">
        <w:rPr>
          <w:rFonts w:ascii="Times New Roman" w:hAnsi="Times New Roman" w:cs="Times New Roman"/>
          <w:sz w:val="24"/>
          <w:szCs w:val="24"/>
        </w:rPr>
        <w:br w:type="page"/>
      </w:r>
    </w:p>
    <w:p w:rsidR="00B3548C" w:rsidRPr="00A72F70" w:rsidRDefault="00027DF8" w:rsidP="00A72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F70">
        <w:rPr>
          <w:rFonts w:ascii="Times New Roman" w:hAnsi="Times New Roman" w:cs="Times New Roman"/>
          <w:b/>
          <w:sz w:val="24"/>
          <w:szCs w:val="24"/>
        </w:rPr>
        <w:lastRenderedPageBreak/>
        <w:t>Medicare payment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1"/>
        <w:gridCol w:w="2097"/>
        <w:gridCol w:w="1420"/>
        <w:gridCol w:w="3307"/>
        <w:gridCol w:w="1571"/>
      </w:tblGrid>
      <w:tr w:rsidR="00BF571D" w:rsidTr="00B3548C">
        <w:trPr>
          <w:trHeight w:val="300"/>
        </w:trPr>
        <w:tc>
          <w:tcPr>
            <w:tcW w:w="1254" w:type="dxa"/>
            <w:noWrap/>
            <w:hideMark/>
          </w:tcPr>
          <w:p w:rsidR="005C3A4F" w:rsidRPr="00A72F70" w:rsidRDefault="005C3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Medicare part A</w:t>
            </w:r>
          </w:p>
        </w:tc>
        <w:tc>
          <w:tcPr>
            <w:tcW w:w="1513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Medicare part B</w:t>
            </w:r>
          </w:p>
        </w:tc>
        <w:tc>
          <w:tcPr>
            <w:tcW w:w="3547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Medicare advantage </w:t>
            </w:r>
          </w:p>
        </w:tc>
        <w:tc>
          <w:tcPr>
            <w:tcW w:w="1631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Medicare part D</w:t>
            </w:r>
          </w:p>
        </w:tc>
      </w:tr>
      <w:tr w:rsidR="00BF571D" w:rsidTr="00B3548C">
        <w:trPr>
          <w:trHeight w:val="300"/>
        </w:trPr>
        <w:tc>
          <w:tcPr>
            <w:tcW w:w="1254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coverage </w:t>
            </w:r>
          </w:p>
        </w:tc>
        <w:tc>
          <w:tcPr>
            <w:tcW w:w="1631" w:type="dxa"/>
            <w:noWrap/>
            <w:hideMark/>
          </w:tcPr>
          <w:p w:rsidR="005C3A4F" w:rsidRPr="00A72F70" w:rsidRDefault="00027DF8" w:rsidP="00B3548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This type of Medicare covers inpatient/hospital coverage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. An inpatient is a patient admitted to a hospital under a doctor's order. Outpatient receives medical care without being admitted. </w:t>
            </w:r>
          </w:p>
        </w:tc>
        <w:tc>
          <w:tcPr>
            <w:tcW w:w="1513" w:type="dxa"/>
            <w:noWrap/>
            <w:hideMark/>
          </w:tcPr>
          <w:p w:rsidR="005C3A4F" w:rsidRPr="00A72F70" w:rsidRDefault="00027DF8" w:rsidP="00BB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It covers outpatient and medical coverage. </w:t>
            </w:r>
          </w:p>
          <w:p w:rsidR="00426E3D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Medical cover involves a cover made for </w:t>
            </w:r>
            <w:r w:rsidR="00F555CE"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paying surgical, medical, and dental expenses. </w:t>
            </w:r>
          </w:p>
          <w:p w:rsidR="00426E3D" w:rsidRPr="00A72F70" w:rsidRDefault="0042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noWrap/>
            <w:hideMark/>
          </w:tcPr>
          <w:p w:rsidR="005C3A4F" w:rsidRPr="00A72F70" w:rsidRDefault="00027DF8" w:rsidP="00BB39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Medicare private health plans, such as HMOs and PPOs, contract with the federal government</w:t>
            </w:r>
            <w:r w:rsidR="00F555CE"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 are used in providing health care. Private medical facilities or insurance c</w:t>
            </w:r>
            <w:r w:rsidR="00BB3961"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ompanies may provide plans. </w:t>
            </w:r>
          </w:p>
          <w:p w:rsidR="00BB3961" w:rsidRPr="00A72F70" w:rsidRDefault="00027DF8" w:rsidP="00BB39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HMO means maintenance organization</w:t>
            </w:r>
          </w:p>
          <w:p w:rsidR="00BB3961" w:rsidRPr="00A72F70" w:rsidRDefault="00027DF8" w:rsidP="00BB39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PPO means prefe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rred provider organization.</w:t>
            </w:r>
          </w:p>
        </w:tc>
        <w:tc>
          <w:tcPr>
            <w:tcW w:w="1631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This covers expenses for outpatient drug coverage</w:t>
            </w:r>
            <w:r w:rsidR="00A72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571D" w:rsidTr="00B3548C">
        <w:trPr>
          <w:trHeight w:val="300"/>
        </w:trPr>
        <w:tc>
          <w:tcPr>
            <w:tcW w:w="1254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premium </w:t>
            </w:r>
          </w:p>
        </w:tc>
        <w:tc>
          <w:tcPr>
            <w:tcW w:w="1631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Those who opt to pay this form of Medicare pay an amount between </w:t>
            </w:r>
            <w:r w:rsidR="008D235F" w:rsidRPr="00A72F70">
              <w:rPr>
                <w:rFonts w:ascii="Times New Roman" w:hAnsi="Times New Roman" w:cs="Times New Roman"/>
                <w:sz w:val="24"/>
                <w:szCs w:val="24"/>
              </w:rPr>
              <w:t>$259 to $471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depending on their income. </w:t>
            </w:r>
          </w:p>
        </w:tc>
        <w:tc>
          <w:tcPr>
            <w:tcW w:w="1513" w:type="dxa"/>
            <w:noWrap/>
            <w:hideMark/>
          </w:tcPr>
          <w:p w:rsidR="005C3A4F" w:rsidRPr="00A72F70" w:rsidRDefault="00027DF8" w:rsidP="005C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The standard amount payable is $148.50. This may vary from year to year depending on the demand of patients. </w:t>
            </w:r>
          </w:p>
        </w:tc>
        <w:tc>
          <w:tcPr>
            <w:tcW w:w="3547" w:type="dxa"/>
            <w:noWrap/>
            <w:hideMark/>
          </w:tcPr>
          <w:p w:rsidR="00BB3961" w:rsidRPr="00A72F70" w:rsidRDefault="00027DF8" w:rsidP="005C3A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The client has to choose plans that suit him or her best. The premiums vary depending on the plan chosen. The premiums may vary from one </w:t>
            </w:r>
            <w:r w:rsidR="005A4F7E" w:rsidRPr="00A72F70">
              <w:rPr>
                <w:rFonts w:ascii="Times New Roman" w:hAnsi="Times New Roman" w:cs="Times New Roman"/>
                <w:sz w:val="24"/>
                <w:szCs w:val="24"/>
              </w:rPr>
              <w:t>month to another.  Some of these plans include;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A4F" w:rsidRPr="00A72F70" w:rsidRDefault="00027DF8" w:rsidP="005C3A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bCs/>
                <w:sz w:val="24"/>
                <w:szCs w:val="24"/>
              </w:rPr>
              <w:t>Health Maintenance Organization (HMO</w:t>
            </w:r>
            <w:r w:rsidRPr="00A72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 HMO plans utilize in-network doctors and require referrals for specialists.</w:t>
            </w:r>
          </w:p>
          <w:p w:rsidR="005C3A4F" w:rsidRPr="00A72F70" w:rsidRDefault="00027DF8" w:rsidP="005C3A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bCs/>
                <w:sz w:val="24"/>
                <w:szCs w:val="24"/>
              </w:rPr>
              <w:t>Preferred Provider Organization (PPO)</w:t>
            </w:r>
            <w:r w:rsidRPr="00A72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27647" w:rsidRPr="00A72F70">
              <w:rPr>
                <w:rFonts w:ascii="Times New Roman" w:hAnsi="Times New Roman" w:cs="Times New Roman"/>
                <w:sz w:val="24"/>
                <w:szCs w:val="24"/>
              </w:rPr>
              <w:t>PPO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 plans charge different rates based on in-network or out-of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-network services.</w:t>
            </w:r>
          </w:p>
          <w:p w:rsidR="005C3A4F" w:rsidRPr="00A72F70" w:rsidRDefault="00027DF8" w:rsidP="005C3A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bCs/>
                <w:sz w:val="24"/>
                <w:szCs w:val="24"/>
              </w:rPr>
              <w:t>Private Fee-for-Service (PFFS).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 PFFS plans are special payment plans that offer provider flexibility.</w:t>
            </w:r>
          </w:p>
          <w:p w:rsidR="005C3A4F" w:rsidRPr="00A72F70" w:rsidRDefault="00027DF8" w:rsidP="005C3A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bCs/>
                <w:sz w:val="24"/>
                <w:szCs w:val="24"/>
              </w:rPr>
              <w:t>Special Needs Plans (SNPs)</w:t>
            </w:r>
            <w:r w:rsidRPr="00A72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 SNPs help with long-term medical costs for chronic conditions.</w:t>
            </w:r>
          </w:p>
          <w:p w:rsidR="005C3A4F" w:rsidRPr="00A72F70" w:rsidRDefault="00027DF8" w:rsidP="005C3A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bCs/>
                <w:sz w:val="24"/>
                <w:szCs w:val="24"/>
              </w:rPr>
              <w:t>Medical Savings Account (MSA).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 MSA</w:t>
            </w:r>
            <w:r w:rsidR="00727647"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plans are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 medical savings accounts paired with high deductible health plans.</w:t>
            </w:r>
          </w:p>
          <w:p w:rsidR="00727647" w:rsidRPr="00A72F70" w:rsidRDefault="00027DF8" w:rsidP="005C3A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The average premium is $36 per month. </w:t>
            </w:r>
          </w:p>
        </w:tc>
        <w:tc>
          <w:tcPr>
            <w:tcW w:w="1631" w:type="dxa"/>
            <w:noWrap/>
            <w:hideMark/>
          </w:tcPr>
          <w:p w:rsidR="005C3A4F" w:rsidRPr="00A72F70" w:rsidRDefault="00027DF8" w:rsidP="00A72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Premiums paid on Medicare part D vary depending on the income of individuals</w:t>
            </w:r>
            <w:r w:rsidR="00B3548C"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. The premium ranges from $ 0 for people earning $ 88,000 and below to $77.10 for people earning $750,000 and above. The premium for the initial plan (part A) is added to this amount. </w:t>
            </w:r>
          </w:p>
        </w:tc>
      </w:tr>
      <w:tr w:rsidR="00BF571D" w:rsidTr="00B3548C">
        <w:trPr>
          <w:trHeight w:val="300"/>
        </w:trPr>
        <w:tc>
          <w:tcPr>
            <w:tcW w:w="1254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deductions </w:t>
            </w:r>
          </w:p>
        </w:tc>
        <w:tc>
          <w:tcPr>
            <w:tcW w:w="1631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$1,484 for every benefit period</w:t>
            </w:r>
          </w:p>
        </w:tc>
        <w:tc>
          <w:tcPr>
            <w:tcW w:w="1513" w:type="dxa"/>
            <w:noWrap/>
            <w:hideMark/>
          </w:tcPr>
          <w:p w:rsidR="005C3A4F" w:rsidRPr="00A72F70" w:rsidRDefault="00027DF8" w:rsidP="005C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The total deductions made by on Medicare part B is $203 </w:t>
            </w:r>
          </w:p>
        </w:tc>
        <w:tc>
          <w:tcPr>
            <w:tcW w:w="3547" w:type="dxa"/>
            <w:noWrap/>
            <w:hideMark/>
          </w:tcPr>
          <w:p w:rsidR="005C3A4F" w:rsidRPr="00A72F70" w:rsidRDefault="00027DF8" w:rsidP="00B3548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Does not carry any deductions after payment of the premiums </w:t>
            </w:r>
          </w:p>
        </w:tc>
        <w:tc>
          <w:tcPr>
            <w:tcW w:w="1631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$445</w:t>
            </w:r>
            <w:r w:rsidR="00727647"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 is paid to cater for drugs and other services. </w:t>
            </w:r>
          </w:p>
          <w:p w:rsidR="00B3548C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In case the patient does not spend $445 on prescription drugs per year, he/she pays the amount spend. </w:t>
            </w:r>
          </w:p>
        </w:tc>
      </w:tr>
      <w:tr w:rsidR="00BF571D" w:rsidTr="00B3548C">
        <w:trPr>
          <w:trHeight w:val="300"/>
        </w:trPr>
        <w:tc>
          <w:tcPr>
            <w:tcW w:w="1254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co-payments</w:t>
            </w:r>
          </w:p>
        </w:tc>
        <w:tc>
          <w:tcPr>
            <w:tcW w:w="1631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There is a $0 co-payment f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or days 1 through 60 of a hospital stay. </w:t>
            </w:r>
            <w:r w:rsidR="005A4F7E" w:rsidRPr="00A72F70">
              <w:rPr>
                <w:rFonts w:ascii="Times New Roman" w:hAnsi="Times New Roman" w:cs="Times New Roman"/>
                <w:sz w:val="24"/>
                <w:szCs w:val="24"/>
              </w:rPr>
              <w:t>A patient is expected to pay For days 61 through 90 of stay in hospital. T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he co-payment is $371 per day. For days 91 onward, the co-payment is $742 per day.</w:t>
            </w:r>
          </w:p>
        </w:tc>
        <w:tc>
          <w:tcPr>
            <w:tcW w:w="1513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After a person has paid their deductible, they will be res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ponsible for paying 20% toward eligible healthcare charges. Medicare pays the remaining 80%</w:t>
            </w:r>
          </w:p>
        </w:tc>
        <w:tc>
          <w:tcPr>
            <w:tcW w:w="3547" w:type="dxa"/>
            <w:noWrap/>
            <w:hideMark/>
          </w:tcPr>
          <w:p w:rsidR="005C3A4F" w:rsidRPr="00A72F70" w:rsidRDefault="00027DF8" w:rsidP="00B3548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It May vary depending on the plan enrolled, but the maximum spending on co-payments should not exceed$6700 per year. </w:t>
            </w:r>
          </w:p>
        </w:tc>
        <w:tc>
          <w:tcPr>
            <w:tcW w:w="1631" w:type="dxa"/>
            <w:noWrap/>
            <w:hideMark/>
          </w:tcPr>
          <w:p w:rsidR="005C3A4F" w:rsidRPr="00A72F70" w:rsidRDefault="000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$3.70 for generic drugs and $9.20 for brand na</w:t>
            </w:r>
            <w:r w:rsidRPr="00A72F70">
              <w:rPr>
                <w:rFonts w:ascii="Times New Roman" w:hAnsi="Times New Roman" w:cs="Times New Roman"/>
                <w:sz w:val="24"/>
                <w:szCs w:val="24"/>
              </w:rPr>
              <w:t>me drugs</w:t>
            </w:r>
            <w:r w:rsidR="005A4F7E" w:rsidRPr="00A72F70">
              <w:rPr>
                <w:rFonts w:ascii="Times New Roman" w:hAnsi="Times New Roman" w:cs="Times New Roman"/>
                <w:sz w:val="24"/>
                <w:szCs w:val="24"/>
              </w:rPr>
              <w:t xml:space="preserve"> are paid as co-payments.</w:t>
            </w:r>
          </w:p>
        </w:tc>
      </w:tr>
    </w:tbl>
    <w:p w:rsidR="00D26711" w:rsidRDefault="00D26711"/>
    <w:sectPr w:rsidR="00D26711" w:rsidSect="00A72F70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F8" w:rsidRDefault="00027DF8">
      <w:pPr>
        <w:spacing w:after="0" w:line="240" w:lineRule="auto"/>
      </w:pPr>
      <w:r>
        <w:separator/>
      </w:r>
    </w:p>
  </w:endnote>
  <w:endnote w:type="continuationSeparator" w:id="0">
    <w:p w:rsidR="00027DF8" w:rsidRDefault="0002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F8" w:rsidRDefault="00027DF8">
      <w:pPr>
        <w:spacing w:after="0" w:line="240" w:lineRule="auto"/>
      </w:pPr>
      <w:r>
        <w:separator/>
      </w:r>
    </w:p>
  </w:footnote>
  <w:footnote w:type="continuationSeparator" w:id="0">
    <w:p w:rsidR="00027DF8" w:rsidRDefault="0002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9526960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2F70" w:rsidRPr="00A72F70" w:rsidRDefault="00027DF8" w:rsidP="00A72F70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A72F70">
          <w:rPr>
            <w:rFonts w:ascii="Times New Roman" w:hAnsi="Times New Roman" w:cs="Times New Roman"/>
            <w:sz w:val="24"/>
            <w:szCs w:val="24"/>
          </w:rPr>
          <w:t xml:space="preserve">Medicare payment grid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</w:t>
        </w:r>
        <w:r w:rsidRPr="00A72F70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</w:t>
        </w:r>
        <w:r w:rsidRPr="00A72F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2F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2F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79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2F7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72F70" w:rsidRPr="00A72F70" w:rsidRDefault="00A72F7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F70" w:rsidRPr="00A72F70" w:rsidRDefault="00027DF8">
    <w:pPr>
      <w:pStyle w:val="Header"/>
      <w:rPr>
        <w:rFonts w:ascii="Times New Roman" w:hAnsi="Times New Roman" w:cs="Times New Roman"/>
        <w:sz w:val="24"/>
        <w:szCs w:val="24"/>
      </w:rPr>
    </w:pPr>
    <w:r w:rsidRPr="00A72F70">
      <w:rPr>
        <w:rFonts w:ascii="Times New Roman" w:hAnsi="Times New Roman" w:cs="Times New Roman"/>
        <w:sz w:val="24"/>
        <w:szCs w:val="24"/>
      </w:rPr>
      <w:t xml:space="preserve">Running Head; Medicare payment grid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</w:t>
    </w:r>
    <w:r w:rsidRPr="00A72F70">
      <w:rPr>
        <w:rFonts w:ascii="Times New Roman" w:hAnsi="Times New Roman" w:cs="Times New Roman"/>
        <w:sz w:val="24"/>
        <w:szCs w:val="24"/>
      </w:rPr>
      <w:t xml:space="preserve">            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DCE"/>
    <w:multiLevelType w:val="hybridMultilevel"/>
    <w:tmpl w:val="1DB2A0C4"/>
    <w:lvl w:ilvl="0" w:tplc="95C29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C3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0A7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89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AB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A25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C4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4E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E62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A0142"/>
    <w:multiLevelType w:val="multilevel"/>
    <w:tmpl w:val="AB5E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33935"/>
    <w:multiLevelType w:val="hybridMultilevel"/>
    <w:tmpl w:val="1C24DE54"/>
    <w:lvl w:ilvl="0" w:tplc="F11A0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3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30D5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2B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A8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46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EA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6D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CA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11040"/>
    <w:multiLevelType w:val="multilevel"/>
    <w:tmpl w:val="AB5E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DF1352"/>
    <w:multiLevelType w:val="multilevel"/>
    <w:tmpl w:val="AB5E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441C20"/>
    <w:multiLevelType w:val="multilevel"/>
    <w:tmpl w:val="AB5E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4F"/>
    <w:rsid w:val="00027DF8"/>
    <w:rsid w:val="00190018"/>
    <w:rsid w:val="00426E3D"/>
    <w:rsid w:val="005A4F7E"/>
    <w:rsid w:val="005C3A4F"/>
    <w:rsid w:val="00727647"/>
    <w:rsid w:val="007568CE"/>
    <w:rsid w:val="008D235F"/>
    <w:rsid w:val="00A72F70"/>
    <w:rsid w:val="00B3548C"/>
    <w:rsid w:val="00BB3961"/>
    <w:rsid w:val="00BF571D"/>
    <w:rsid w:val="00D26711"/>
    <w:rsid w:val="00E17957"/>
    <w:rsid w:val="00E85715"/>
    <w:rsid w:val="00F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3A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F70"/>
  </w:style>
  <w:style w:type="paragraph" w:styleId="Footer">
    <w:name w:val="footer"/>
    <w:basedOn w:val="Normal"/>
    <w:link w:val="FooterChar"/>
    <w:uiPriority w:val="99"/>
    <w:unhideWhenUsed/>
    <w:rsid w:val="00A7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3A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F70"/>
  </w:style>
  <w:style w:type="paragraph" w:styleId="Footer">
    <w:name w:val="footer"/>
    <w:basedOn w:val="Normal"/>
    <w:link w:val="FooterChar"/>
    <w:uiPriority w:val="99"/>
    <w:unhideWhenUsed/>
    <w:rsid w:val="00A7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2021-03-05T08:23:00Z</dcterms:created>
  <dcterms:modified xsi:type="dcterms:W3CDTF">2021-03-05T08:23:00Z</dcterms:modified>
</cp:coreProperties>
</file>